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6" w:lineRule="auto"/>
        <w:rPr>
          <w:rFonts w:ascii="Arial"/>
          <w:sz w:val="21"/>
        </w:rPr>
      </w:pPr>
    </w:p>
    <w:p>
      <w:pPr>
        <w:spacing w:line="336" w:lineRule="auto"/>
        <w:rPr>
          <w:rFonts w:ascii="Arial"/>
          <w:sz w:val="21"/>
        </w:rPr>
      </w:pPr>
    </w:p>
    <w:p>
      <w:pPr>
        <w:spacing w:before="114" w:line="226" w:lineRule="auto"/>
        <w:ind w:left="1208"/>
        <w:jc w:val="left"/>
        <w:outlineLvl w:val="0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7"/>
          <w:sz w:val="35"/>
          <w:szCs w:val="35"/>
        </w:rPr>
        <w:t>中煤党校面向社会公开招聘工作人员公告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0"/>
        <w:textAlignment w:val="baseline"/>
        <w:rPr>
          <w:rFonts w:ascii="仿宋" w:hAnsi="仿宋" w:eastAsia="仿宋" w:cs="仿宋"/>
          <w:snapToGrid w:val="0"/>
          <w:color w:val="000000"/>
          <w:spacing w:val="3"/>
          <w:kern w:val="0"/>
          <w:sz w:val="30"/>
          <w:szCs w:val="30"/>
          <w:lang w:val="en-US" w:eastAsia="en-US" w:bidi="ar-SA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612" w:firstLineChars="200"/>
        <w:jc w:val="both"/>
        <w:textAlignment w:val="baseline"/>
      </w:pPr>
      <w:r>
        <w:rPr>
          <w:spacing w:val="3"/>
        </w:rPr>
        <w:t>中国中煤能源集团有限公司（简称中国中煤）是国务院国资委</w:t>
      </w:r>
      <w:r>
        <w:rPr>
          <w:spacing w:val="-3"/>
        </w:rPr>
        <w:t>监管的国有特大型重点骨干企业，其前身是1982年经国务院批准成</w:t>
      </w:r>
      <w:r>
        <w:rPr>
          <w:spacing w:val="4"/>
        </w:rPr>
        <w:t>立的中国煤炭进出口总公司。主营业务包括煤炭开发利用及贸易，电力、热力生产及供应，煤基新材料及相关化学品开发利用，相关装备制造及工程技术服务，涵盖煤炭全产业链，肩负保障国家能源</w:t>
      </w:r>
      <w:r>
        <w:rPr>
          <w:spacing w:val="2"/>
        </w:rPr>
        <w:t>安全的重要使命。现有可控煤炭资源储量超过770亿吨，生产及在</w:t>
      </w:r>
      <w:r>
        <w:rPr>
          <w:spacing w:val="-5"/>
        </w:rPr>
        <w:t>建煤矿70余座，煤炭总产能超3亿吨，煤炭年贸易量近4亿吨。生</w:t>
      </w:r>
      <w:r>
        <w:rPr>
          <w:spacing w:val="1"/>
        </w:rPr>
        <w:t>产及在建煤化工项目10个，总产能近20</w:t>
      </w:r>
      <w:r>
        <w:t>00万吨，产品主要包括烯</w:t>
      </w:r>
      <w:r>
        <w:rPr>
          <w:spacing w:val="-2"/>
        </w:rPr>
        <w:t>烃、甲醇、尿素、硝铵、焦炭等。在运在建电力装机规模超5000万</w:t>
      </w:r>
      <w:r>
        <w:rPr>
          <w:spacing w:val="4"/>
        </w:rPr>
        <w:t>千瓦。煤矿设计建设、煤机装备制造综合实力、技术水平、市场占</w:t>
      </w:r>
      <w:r>
        <w:rPr>
          <w:spacing w:val="6"/>
        </w:rPr>
        <w:t>有率居行业前列。拥有中煤能源（A＋H）、上海能源、新集能源3</w:t>
      </w:r>
      <w:r>
        <w:rPr>
          <w:spacing w:val="-1"/>
        </w:rPr>
        <w:t>家上市公司。截至2023年底，中国中煤管理资产总额6000亿元，</w:t>
      </w:r>
      <w:r>
        <w:rPr>
          <w:spacing w:val="-5"/>
        </w:rPr>
        <w:t>职工12.3万人，连续</w:t>
      </w:r>
      <w:r>
        <w:rPr>
          <w:rFonts w:hint="eastAsia"/>
          <w:spacing w:val="-5"/>
          <w:lang w:val="en-US" w:eastAsia="zh-CN"/>
        </w:rPr>
        <w:t>5</w:t>
      </w:r>
      <w:bookmarkStart w:id="0" w:name="_GoBack"/>
      <w:bookmarkEnd w:id="0"/>
      <w:r>
        <w:rPr>
          <w:spacing w:val="-5"/>
        </w:rPr>
        <w:t>年获得国务院国资委经营业绩考核A级，连</w:t>
      </w:r>
      <w:r>
        <w:rPr>
          <w:spacing w:val="-6"/>
        </w:rPr>
        <w:t>续5年位列《财富》世界企业500强。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中共中国中煤能源集团有限公司委员会党校（以下简称“中煤党校”）是中国中煤干部教育培训的主阵地，校区位于上海市杨浦区，毗邻复旦、同济、上海财大等多所高校，可同时满足200人同期在校。中煤党校下设培训处、教务处、综合办公室3个业务部室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根据办学需要，现面向中国中煤内部和社会公开招聘党校工作人员，有关事项公告如下：</w:t>
      </w:r>
    </w:p>
    <w:p>
      <w:pPr>
        <w:pStyle w:val="2"/>
        <w:spacing w:before="53" w:line="329" w:lineRule="auto"/>
        <w:ind w:right="103"/>
        <w:jc w:val="both"/>
        <w:rPr>
          <w:spacing w:val="-3"/>
        </w:rPr>
      </w:pPr>
    </w:p>
    <w:p>
      <w:pPr>
        <w:spacing w:before="98" w:line="222" w:lineRule="auto"/>
        <w:ind w:left="689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一、招聘岗位有关情况</w:t>
      </w:r>
    </w:p>
    <w:p>
      <w:pPr>
        <w:pStyle w:val="2"/>
        <w:spacing w:before="197" w:line="222" w:lineRule="auto"/>
        <w:ind w:left="698"/>
        <w:outlineLvl w:val="2"/>
      </w:pPr>
      <w:r>
        <w:rPr>
          <w:spacing w:val="-3"/>
        </w:rPr>
        <w:t>（一）招聘岗位、人数</w:t>
      </w:r>
    </w:p>
    <w:p>
      <w:pPr>
        <w:spacing w:line="93" w:lineRule="auto"/>
        <w:rPr>
          <w:rFonts w:ascii="Arial"/>
          <w:sz w:val="2"/>
        </w:rPr>
      </w:pPr>
    </w:p>
    <w:tbl>
      <w:tblPr>
        <w:tblStyle w:val="5"/>
        <w:tblW w:w="898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6"/>
        <w:gridCol w:w="2567"/>
        <w:gridCol w:w="2568"/>
        <w:gridCol w:w="236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</w:tblPrEx>
        <w:trPr>
          <w:trHeight w:val="802" w:hRule="atLeast"/>
        </w:trPr>
        <w:tc>
          <w:tcPr>
            <w:tcW w:w="14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2"/>
                <w:sz w:val="24"/>
                <w:szCs w:val="24"/>
              </w:rPr>
              <w:t>序号</w:t>
            </w:r>
          </w:p>
        </w:tc>
        <w:tc>
          <w:tcPr>
            <w:tcW w:w="2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2"/>
                <w:sz w:val="24"/>
                <w:szCs w:val="24"/>
              </w:rPr>
              <w:t>部门</w:t>
            </w:r>
          </w:p>
        </w:tc>
        <w:tc>
          <w:tcPr>
            <w:tcW w:w="25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29"/>
                <w:sz w:val="24"/>
                <w:szCs w:val="24"/>
              </w:rPr>
              <w:t>岗位</w:t>
            </w:r>
          </w:p>
        </w:tc>
        <w:tc>
          <w:tcPr>
            <w:tcW w:w="23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4"/>
                <w:sz w:val="24"/>
                <w:szCs w:val="24"/>
              </w:rPr>
              <w:t>人数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14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6"/>
                <w:sz w:val="24"/>
                <w:szCs w:val="24"/>
              </w:rPr>
              <w:t>教务处</w:t>
            </w:r>
          </w:p>
        </w:tc>
        <w:tc>
          <w:tcPr>
            <w:tcW w:w="25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</w:rPr>
              <w:t>教务主管</w:t>
            </w:r>
          </w:p>
        </w:tc>
        <w:tc>
          <w:tcPr>
            <w:tcW w:w="23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14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6"/>
                <w:sz w:val="24"/>
                <w:szCs w:val="24"/>
              </w:rPr>
              <w:t>培训处</w:t>
            </w:r>
          </w:p>
        </w:tc>
        <w:tc>
          <w:tcPr>
            <w:tcW w:w="25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</w:rPr>
              <w:t>培训主管</w:t>
            </w:r>
          </w:p>
        </w:tc>
        <w:tc>
          <w:tcPr>
            <w:tcW w:w="23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</w:tr>
    </w:tbl>
    <w:p>
      <w:pPr>
        <w:pStyle w:val="2"/>
        <w:spacing w:before="192" w:line="220" w:lineRule="auto"/>
        <w:ind w:left="698"/>
        <w:outlineLvl w:val="2"/>
      </w:pPr>
      <w:r>
        <w:rPr>
          <w:spacing w:val="-3"/>
        </w:rPr>
        <w:t>（二）工作地点：上海市</w:t>
      </w:r>
    </w:p>
    <w:p>
      <w:pPr>
        <w:spacing w:before="200" w:line="222" w:lineRule="auto"/>
        <w:ind w:left="689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二、应聘资格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（一）基本条件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政治素质好，德才兼备，为人正派，清正廉洁，诚实守信，遵纪守法，具有过硬的业务素质、良好的心理素质和能够正常履行职责的身体素质。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（二）任职要求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（1）具有5年及以上工作经验，至少3年及以上培训、党务、综合管理、人力资源管理等相关工作经验；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（2）具有全日制大学本科及以上学历；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（3）经济类、管理类、文史类、哲学类、教育类等相关专业；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（4）具有中级及以上职称；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（5）年龄不超过45周岁；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（6）文字功底扎实，具有良好的沟通协调能力、执行能力以及较强的独立工作能力；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（7）中共党员。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上述招聘岗位其他要求以及具体职责，详见岗位说明书。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对于特别优秀的人员，有关年龄、专业、职称条件可适当放宽。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有下列情形之一的人员，不在此次招聘范围内：受司法机关或原单位纪委、监察部门审查，尚未作出结论的；受原单位党纪、行政处分，尚处影响期或影响期满影响使用的。</w:t>
      </w:r>
    </w:p>
    <w:p>
      <w:pPr>
        <w:spacing w:before="48" w:line="222" w:lineRule="auto"/>
        <w:ind w:left="601"/>
        <w:jc w:val="both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三、招聘工作程序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招聘程序主要包括发布招聘公告、报名、资格审查、测试（笔试、面试、心理测评）、考察或背景调查、讨论决定、公示、聘用等。</w:t>
      </w:r>
    </w:p>
    <w:p>
      <w:pPr>
        <w:spacing w:before="47" w:line="222" w:lineRule="auto"/>
        <w:ind w:left="612"/>
        <w:jc w:val="both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四、薪酬及福利待遇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被聘用人员工资、福利等待遇执行中国中煤上海区域企业薪酬标准，并享有公司规定的其他福利待遇。</w:t>
      </w:r>
    </w:p>
    <w:p>
      <w:pPr>
        <w:spacing w:before="54" w:line="221" w:lineRule="auto"/>
        <w:ind w:left="603"/>
        <w:jc w:val="both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五、报名时间、方式及要求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（一）报名截止时间：2024年</w:t>
      </w:r>
      <w:r>
        <w:rPr>
          <w:rFonts w:hint="eastAsia"/>
          <w:spacing w:val="-5"/>
          <w:lang w:val="en-US" w:eastAsia="zh-CN"/>
        </w:rPr>
        <w:t>9</w:t>
      </w:r>
      <w:r>
        <w:rPr>
          <w:spacing w:val="-5"/>
        </w:rPr>
        <w:t>月</w:t>
      </w:r>
      <w:r>
        <w:rPr>
          <w:rFonts w:hint="eastAsia"/>
          <w:spacing w:val="-5"/>
          <w:lang w:val="en-US" w:eastAsia="zh-CN"/>
        </w:rPr>
        <w:t>8</w:t>
      </w:r>
      <w:r>
        <w:rPr>
          <w:spacing w:val="-5"/>
        </w:rPr>
        <w:t>日。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（二）报名方式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应聘人员请登录</w:t>
      </w:r>
      <w:r>
        <w:rPr>
          <w:spacing w:val="-5"/>
        </w:rPr>
        <w:fldChar w:fldCharType="begin"/>
      </w:r>
      <w:r>
        <w:rPr>
          <w:spacing w:val="-5"/>
        </w:rPr>
        <w:instrText xml:space="preserve"> HYPERLINK "https://zhaopin.chinacoal.com/" </w:instrText>
      </w:r>
      <w:r>
        <w:rPr>
          <w:spacing w:val="-5"/>
        </w:rPr>
        <w:fldChar w:fldCharType="separate"/>
      </w:r>
      <w:r>
        <w:rPr>
          <w:spacing w:val="-5"/>
        </w:rPr>
        <w:t>https://zhaopin.chinacoal.com/</w:t>
      </w:r>
      <w:r>
        <w:rPr>
          <w:spacing w:val="-5"/>
        </w:rPr>
        <w:fldChar w:fldCharType="end"/>
      </w:r>
      <w:r>
        <w:rPr>
          <w:spacing w:val="-5"/>
        </w:rPr>
        <w:t>（PC端）在公告下方“招聘职位”处点击“立即投递”报名，或扫描文末二维码（移动端）填写报名信息。本次招聘工作不接受现场、电话、信函等其他方式报名，不接受其他样式简历。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（三）有关要求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1.应聘人员应对提交材料的真实性负责。凡弄虚作假者，一经查实，即取消应聘资格。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2.每人限报1个岗位，并注明是否服从调剂。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3.请应聘人员提供准确的手机号码和邮箱地址，并及时查收短信和电子邮件，同时保持电话畅通。</w:t>
      </w:r>
    </w:p>
    <w:p>
      <w:pPr>
        <w:pStyle w:val="2"/>
        <w:spacing w:before="200" w:line="329" w:lineRule="auto"/>
        <w:ind w:right="2" w:firstLine="596"/>
        <w:jc w:val="both"/>
        <w:rPr>
          <w:spacing w:val="-2"/>
        </w:rPr>
      </w:pPr>
    </w:p>
    <w:p>
      <w:pPr>
        <w:pStyle w:val="2"/>
        <w:spacing w:before="200" w:line="329" w:lineRule="auto"/>
        <w:ind w:right="2" w:firstLine="596"/>
        <w:jc w:val="both"/>
        <w:rPr>
          <w:spacing w:val="-2"/>
        </w:rPr>
      </w:pPr>
    </w:p>
    <w:p>
      <w:pPr>
        <w:spacing w:before="52" w:line="221" w:lineRule="auto"/>
        <w:ind w:left="602"/>
        <w:jc w:val="both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六、其他有关要求及声明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（一）对社会聘用人员设定任职试用期，如发现应聘者提供了虚假信息材料，按规定予以解聘；试用期满后，经考核合格者正式任职，不合格者退出试用岗位或按规定予以解聘。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（二）中煤党校不负责招聘期间应聘人员的食宿及交通费用，招聘过程中不收取任何费用。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（三）根据工作需要、报名情况等，中煤党校有权对招聘岗位进行调整。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（四）中煤党校承诺做好报名者个人信息的保密工作。</w:t>
      </w:r>
    </w:p>
    <w:p>
      <w:pPr>
        <w:pStyle w:val="2"/>
        <w:spacing w:before="199" w:line="304" w:lineRule="auto"/>
        <w:ind w:firstLine="605"/>
        <w:jc w:val="both"/>
        <w:rPr>
          <w:spacing w:val="4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  <w:r>
        <w:rPr>
          <w:spacing w:val="-5"/>
        </w:rPr>
        <w:t>附件：岗位职责及任职条件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both"/>
        <w:textAlignment w:val="baseline"/>
        <w:rPr>
          <w:spacing w:val="-5"/>
        </w:rPr>
      </w:pPr>
    </w:p>
    <w:p>
      <w:pPr>
        <w:spacing w:line="329" w:lineRule="auto"/>
        <w:rPr>
          <w:rFonts w:ascii="Arial"/>
          <w:sz w:val="21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  <w:r>
        <w:rPr>
          <w:rFonts w:hint="eastAsia" w:eastAsia="仿宋"/>
          <w:spacing w:val="-9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1358900</wp:posOffset>
            </wp:positionH>
            <wp:positionV relativeFrom="paragraph">
              <wp:posOffset>217170</wp:posOffset>
            </wp:positionV>
            <wp:extent cx="2438400" cy="2438400"/>
            <wp:effectExtent l="0" t="0" r="0" b="0"/>
            <wp:wrapNone/>
            <wp:docPr id="1" name="图片 1" descr="c05b1b35d5635115c3de69cb25d06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05b1b35d5635115c3de69cb25d06c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spacing w:before="98" w:line="220" w:lineRule="auto"/>
        <w:ind w:left="6785"/>
        <w:rPr>
          <w:spacing w:val="-15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right"/>
        <w:textAlignment w:val="baseline"/>
        <w:rPr>
          <w:spacing w:val="-5"/>
        </w:rPr>
      </w:pPr>
      <w:r>
        <w:rPr>
          <w:spacing w:val="-5"/>
        </w:rPr>
        <w:t>中煤党校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80" w:firstLineChars="200"/>
        <w:jc w:val="right"/>
        <w:textAlignment w:val="baseline"/>
        <w:rPr>
          <w:rFonts w:hint="eastAsia"/>
          <w:spacing w:val="-5"/>
          <w:lang w:eastAsia="zh-CN"/>
        </w:rPr>
      </w:pPr>
      <w:r>
        <w:rPr>
          <w:spacing w:val="-5"/>
        </w:rPr>
        <w:t>2024年</w:t>
      </w:r>
      <w:r>
        <w:rPr>
          <w:rFonts w:hint="eastAsia"/>
          <w:spacing w:val="-5"/>
          <w:lang w:val="en-US" w:eastAsia="zh-CN"/>
        </w:rPr>
        <w:t>8</w:t>
      </w:r>
      <w:r>
        <w:rPr>
          <w:spacing w:val="-5"/>
        </w:rPr>
        <w:t>月</w:t>
      </w:r>
      <w:r>
        <w:rPr>
          <w:rFonts w:hint="eastAsia"/>
          <w:spacing w:val="-5"/>
          <w:lang w:val="en-US" w:eastAsia="zh-CN"/>
        </w:rPr>
        <w:t>29</w:t>
      </w:r>
      <w:r>
        <w:rPr>
          <w:spacing w:val="-5"/>
        </w:rPr>
        <w:t>日</w:t>
      </w:r>
    </w:p>
    <w:sectPr>
      <w:footerReference r:id="rId3" w:type="default"/>
      <w:pgSz w:w="11906" w:h="16839"/>
      <w:pgMar w:top="1431" w:right="1473" w:bottom="1156" w:left="1605" w:header="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4268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4"/>
        <w:sz w:val="18"/>
        <w:szCs w:val="18"/>
      </w:rPr>
      <w:t>-4-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ODhiZDYyYWFhYWZhOTkxZjlkNDg3N2Q2NWE2YWViOWMifQ=="/>
  </w:docVars>
  <w:rsids>
    <w:rsidRoot w:val="00000000"/>
    <w:rsid w:val="00704018"/>
    <w:rsid w:val="26494897"/>
    <w:rsid w:val="424F6678"/>
    <w:rsid w:val="4DC85184"/>
    <w:rsid w:val="5E6D6272"/>
    <w:rsid w:val="61CD4739"/>
    <w:rsid w:val="7B6502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1548</Words>
  <Characters>1615</Characters>
  <TotalTime>12</TotalTime>
  <ScaleCrop>false</ScaleCrop>
  <LinksUpToDate>false</LinksUpToDate>
  <CharactersWithSpaces>1615</CharactersWithSpaces>
  <Application>WPS Office_11.8.2.8361_F1E327BC-269C-435d-A152-05C5408002CA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2024-08-14T17:11:00Z</dcterms:created>
  <dc:creator>张鸣</dc:creator>
  <cp:lastModifiedBy>葛雪棻</cp:lastModifiedBy>
  <dcterms:modified xsi:type="dcterms:W3CDTF">2024-08-30T05:31:28Z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2024-08-29T08:57:05Z</vt:filetime>
  </property>
  <property fmtid="{D5CDD505-2E9C-101B-9397-08002B2CF9AE}" pid="4" name="KSOProductBuildVer">
    <vt:lpwstr>2052-11.8.2.8361</vt:lpwstr>
  </property>
  <property fmtid="{D5CDD505-2E9C-101B-9397-08002B2CF9AE}" pid="5" name="ICV">
    <vt:lpwstr>AA4077C4806340E8A77B1077E045ED9A_12</vt:lpwstr>
  </property>
</Properties>
</file>